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B30" w:rsidRDefault="007C432F" w:rsidP="009266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 the center of</w:t>
      </w:r>
      <w:r w:rsidR="009D5204" w:rsidRPr="0092667B">
        <w:rPr>
          <w:rFonts w:ascii="Times New Roman" w:hAnsi="Times New Roman" w:cs="Times New Roman"/>
          <w:sz w:val="24"/>
          <w:szCs w:val="24"/>
        </w:rPr>
        <w:t xml:space="preserve"> the painting are three nude women with circular faces staring back passively at the viewer. Their faces are</w:t>
      </w:r>
      <w:r>
        <w:rPr>
          <w:rFonts w:ascii="Times New Roman" w:hAnsi="Times New Roman" w:cs="Times New Roman"/>
          <w:sz w:val="24"/>
          <w:szCs w:val="24"/>
        </w:rPr>
        <w:t xml:space="preserve"> perfect circles, their limbs</w:t>
      </w:r>
      <w:r w:rsidR="009D5204" w:rsidRPr="0092667B">
        <w:rPr>
          <w:rFonts w:ascii="Times New Roman" w:hAnsi="Times New Roman" w:cs="Times New Roman"/>
          <w:sz w:val="24"/>
          <w:szCs w:val="24"/>
        </w:rPr>
        <w:t xml:space="preserve"> simplified to dislocated geometric forms: cylinders and spheres. Their skin looks polished, made of synthetic leather. Their curviness is highlighted with the use of shadow: the further away from the center, the limbs become darker. This </w:t>
      </w:r>
      <w:r w:rsidR="0092667B">
        <w:rPr>
          <w:rFonts w:ascii="Times New Roman" w:hAnsi="Times New Roman" w:cs="Times New Roman"/>
          <w:sz w:val="24"/>
          <w:szCs w:val="24"/>
        </w:rPr>
        <w:t>progressive</w:t>
      </w:r>
      <w:r w:rsidR="009D5204" w:rsidRPr="0092667B">
        <w:rPr>
          <w:rFonts w:ascii="Times New Roman" w:hAnsi="Times New Roman" w:cs="Times New Roman"/>
          <w:sz w:val="24"/>
          <w:szCs w:val="24"/>
        </w:rPr>
        <w:t xml:space="preserve"> chiaroscuro imbue</w:t>
      </w:r>
      <w:r w:rsidR="0092667B">
        <w:rPr>
          <w:rFonts w:ascii="Times New Roman" w:hAnsi="Times New Roman" w:cs="Times New Roman"/>
          <w:sz w:val="24"/>
          <w:szCs w:val="24"/>
        </w:rPr>
        <w:t>s</w:t>
      </w:r>
      <w:r w:rsidR="009D5204" w:rsidRPr="0092667B">
        <w:rPr>
          <w:rFonts w:ascii="Times New Roman" w:hAnsi="Times New Roman" w:cs="Times New Roman"/>
          <w:sz w:val="24"/>
          <w:szCs w:val="24"/>
        </w:rPr>
        <w:t xml:space="preserve"> a sense of depth to the extremities of bodies. The same method is also used for their long</w:t>
      </w:r>
      <w:r w:rsidR="00367126">
        <w:rPr>
          <w:rFonts w:ascii="Times New Roman" w:hAnsi="Times New Roman" w:cs="Times New Roman"/>
          <w:sz w:val="24"/>
          <w:szCs w:val="24"/>
        </w:rPr>
        <w:t>, silky</w:t>
      </w:r>
      <w:r w:rsidR="009D5204" w:rsidRPr="0092667B">
        <w:rPr>
          <w:rFonts w:ascii="Times New Roman" w:hAnsi="Times New Roman" w:cs="Times New Roman"/>
          <w:sz w:val="24"/>
          <w:szCs w:val="24"/>
        </w:rPr>
        <w:t xml:space="preserve"> black </w:t>
      </w:r>
      <w:r w:rsidR="001142DB">
        <w:rPr>
          <w:rFonts w:ascii="Times New Roman" w:hAnsi="Times New Roman" w:cs="Times New Roman"/>
          <w:sz w:val="24"/>
          <w:szCs w:val="24"/>
        </w:rPr>
        <w:t xml:space="preserve">(noir corbeau) </w:t>
      </w:r>
      <w:r w:rsidR="009D5204" w:rsidRPr="0092667B">
        <w:rPr>
          <w:rFonts w:ascii="Times New Roman" w:hAnsi="Times New Roman" w:cs="Times New Roman"/>
          <w:sz w:val="24"/>
          <w:szCs w:val="24"/>
        </w:rPr>
        <w:t>hair. The three figures are e</w:t>
      </w:r>
      <w:r w:rsidR="00F90383">
        <w:rPr>
          <w:rFonts w:ascii="Times New Roman" w:hAnsi="Times New Roman" w:cs="Times New Roman"/>
          <w:sz w:val="24"/>
          <w:szCs w:val="24"/>
        </w:rPr>
        <w:t xml:space="preserve">ngaged in a leisurely activity </w:t>
      </w:r>
      <w:r w:rsidR="00F90383" w:rsidRPr="0092667B">
        <w:rPr>
          <w:rFonts w:ascii="Times New Roman" w:hAnsi="Times New Roman" w:cs="Times New Roman"/>
          <w:sz w:val="24"/>
          <w:szCs w:val="24"/>
        </w:rPr>
        <w:t>–</w:t>
      </w:r>
      <w:r w:rsidR="009D5204" w:rsidRPr="0092667B">
        <w:rPr>
          <w:rFonts w:ascii="Times New Roman" w:hAnsi="Times New Roman" w:cs="Times New Roman"/>
          <w:sz w:val="24"/>
          <w:szCs w:val="24"/>
        </w:rPr>
        <w:t xml:space="preserve"> reading and drinking tea or coffee – while seat</w:t>
      </w:r>
      <w:r w:rsidR="0092667B" w:rsidRPr="0092667B">
        <w:rPr>
          <w:rFonts w:ascii="Times New Roman" w:hAnsi="Times New Roman" w:cs="Times New Roman"/>
          <w:sz w:val="24"/>
          <w:szCs w:val="24"/>
        </w:rPr>
        <w:t>ed on a big divan that extends beyond the right side of the painting. The two (pearl) white women</w:t>
      </w:r>
      <w:r>
        <w:rPr>
          <w:rFonts w:ascii="Times New Roman" w:hAnsi="Times New Roman" w:cs="Times New Roman"/>
          <w:sz w:val="24"/>
          <w:szCs w:val="24"/>
        </w:rPr>
        <w:t xml:space="preserve"> are leaning</w:t>
      </w:r>
      <w:r w:rsidR="0092667B">
        <w:rPr>
          <w:rFonts w:ascii="Times New Roman" w:hAnsi="Times New Roman" w:cs="Times New Roman"/>
          <w:sz w:val="24"/>
          <w:szCs w:val="24"/>
        </w:rPr>
        <w:t xml:space="preserve"> on yellow cushions, which are alternatively plain or striped.</w:t>
      </w:r>
    </w:p>
    <w:p w:rsidR="0092667B" w:rsidRDefault="00F90383" w:rsidP="001142D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Many </w:t>
      </w:r>
      <w:r w:rsidR="0092667B">
        <w:rPr>
          <w:rFonts w:ascii="Times New Roman" w:hAnsi="Times New Roman" w:cs="Times New Roman"/>
          <w:sz w:val="24"/>
          <w:szCs w:val="24"/>
        </w:rPr>
        <w:t>elements of Léger’s cubism are present</w:t>
      </w:r>
      <w:r w:rsidR="00C30503">
        <w:rPr>
          <w:rFonts w:ascii="Times New Roman" w:hAnsi="Times New Roman" w:cs="Times New Roman"/>
          <w:sz w:val="24"/>
          <w:szCs w:val="24"/>
        </w:rPr>
        <w:t xml:space="preserve"> in the painting</w:t>
      </w:r>
      <w:r w:rsidR="0092667B">
        <w:rPr>
          <w:rFonts w:ascii="Times New Roman" w:hAnsi="Times New Roman" w:cs="Times New Roman"/>
          <w:sz w:val="24"/>
          <w:szCs w:val="24"/>
        </w:rPr>
        <w:t>. Along with the use of hues for volume, strong “brut” colors are turned into localized patterns: lines of dark green diamond shaped in the lower right section, and parallel oblique blue bands in the lower right section. Behind the divan is a grid: black straight lines form</w:t>
      </w:r>
      <w:r w:rsidR="007C432F">
        <w:rPr>
          <w:rFonts w:ascii="Times New Roman" w:hAnsi="Times New Roman" w:cs="Times New Roman"/>
          <w:sz w:val="24"/>
          <w:szCs w:val="24"/>
        </w:rPr>
        <w:t>ing</w:t>
      </w:r>
      <w:r w:rsidR="0092667B">
        <w:rPr>
          <w:rFonts w:ascii="Times New Roman" w:hAnsi="Times New Roman" w:cs="Times New Roman"/>
          <w:sz w:val="24"/>
          <w:szCs w:val="24"/>
        </w:rPr>
        <w:t xml:space="preserve"> geometri</w:t>
      </w:r>
      <w:r w:rsidR="001142DB">
        <w:rPr>
          <w:rFonts w:ascii="Times New Roman" w:hAnsi="Times New Roman" w:cs="Times New Roman"/>
          <w:sz w:val="24"/>
          <w:szCs w:val="24"/>
        </w:rPr>
        <w:t xml:space="preserve">c rectangles of varying sizes. </w:t>
      </w:r>
      <w:r w:rsidR="0092667B">
        <w:rPr>
          <w:rFonts w:ascii="Times New Roman" w:hAnsi="Times New Roman" w:cs="Times New Roman"/>
          <w:sz w:val="24"/>
          <w:szCs w:val="24"/>
        </w:rPr>
        <w:t xml:space="preserve">The painting </w:t>
      </w:r>
      <w:r w:rsidR="007C432F">
        <w:rPr>
          <w:rFonts w:ascii="Times New Roman" w:hAnsi="Times New Roman" w:cs="Times New Roman"/>
          <w:sz w:val="24"/>
          <w:szCs w:val="24"/>
        </w:rPr>
        <w:t>as a whole lacks cohesion:</w:t>
      </w:r>
      <w:r w:rsidR="0092667B">
        <w:rPr>
          <w:rFonts w:ascii="Times New Roman" w:hAnsi="Times New Roman" w:cs="Times New Roman"/>
          <w:sz w:val="24"/>
          <w:szCs w:val="24"/>
        </w:rPr>
        <w:t xml:space="preserve"> objects have no shadow, there is no indication of a</w:t>
      </w:r>
      <w:r w:rsidR="00C30503">
        <w:rPr>
          <w:rFonts w:ascii="Times New Roman" w:hAnsi="Times New Roman" w:cs="Times New Roman"/>
          <w:sz w:val="24"/>
          <w:szCs w:val="24"/>
        </w:rPr>
        <w:t xml:space="preserve"> light</w:t>
      </w:r>
      <w:r w:rsidR="0092667B">
        <w:rPr>
          <w:rFonts w:ascii="Times New Roman" w:hAnsi="Times New Roman" w:cs="Times New Roman"/>
          <w:sz w:val="24"/>
          <w:szCs w:val="24"/>
        </w:rPr>
        <w:t xml:space="preserve"> sou</w:t>
      </w:r>
      <w:r w:rsidR="00C30503">
        <w:rPr>
          <w:rFonts w:ascii="Times New Roman" w:hAnsi="Times New Roman" w:cs="Times New Roman"/>
          <w:sz w:val="24"/>
          <w:szCs w:val="24"/>
        </w:rPr>
        <w:t>rce</w:t>
      </w:r>
      <w:r w:rsidR="001142DB">
        <w:rPr>
          <w:rFonts w:ascii="Times New Roman" w:hAnsi="Times New Roman" w:cs="Times New Roman"/>
          <w:sz w:val="24"/>
          <w:szCs w:val="24"/>
        </w:rPr>
        <w:t>. Since there are no suggestions of superposition, one could view Three Women simply as figures on a grid.</w:t>
      </w:r>
    </w:p>
    <w:p w:rsidR="001142DB" w:rsidRDefault="001142DB" w:rsidP="003832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one component is undeniably three-dimensional: the crimson red table-basse that covers a part of the divan. On it are disposed uni-dimensional objects: a colorless bowl of fruit, </w:t>
      </w:r>
      <w:r w:rsidR="003832BC">
        <w:rPr>
          <w:rFonts w:ascii="Times New Roman" w:hAnsi="Times New Roman" w:cs="Times New Roman"/>
          <w:sz w:val="24"/>
          <w:szCs w:val="24"/>
        </w:rPr>
        <w:t>and three empty recipients (green or blue vases, and a grey mug). Yet the table itself does have depth. Léger uses two-point perspective</w:t>
      </w:r>
      <w:r w:rsidR="007C432F">
        <w:rPr>
          <w:rFonts w:ascii="Times New Roman" w:hAnsi="Times New Roman" w:cs="Times New Roman"/>
          <w:sz w:val="24"/>
          <w:szCs w:val="24"/>
        </w:rPr>
        <w:t xml:space="preserve"> – the table’s</w:t>
      </w:r>
      <w:r w:rsidR="003832BC">
        <w:rPr>
          <w:rFonts w:ascii="Times New Roman" w:hAnsi="Times New Roman" w:cs="Times New Roman"/>
          <w:sz w:val="24"/>
          <w:szCs w:val="24"/>
        </w:rPr>
        <w:t xml:space="preserve"> feet are aligned so that two vanishing points can be trace</w:t>
      </w:r>
      <w:r w:rsidR="007C432F">
        <w:rPr>
          <w:rFonts w:ascii="Times New Roman" w:hAnsi="Times New Roman" w:cs="Times New Roman"/>
          <w:sz w:val="24"/>
          <w:szCs w:val="24"/>
        </w:rPr>
        <w:t xml:space="preserve">d. This creates a sense of </w:t>
      </w:r>
      <w:r w:rsidR="004B0BA7">
        <w:rPr>
          <w:rFonts w:ascii="Times New Roman" w:hAnsi="Times New Roman" w:cs="Times New Roman"/>
          <w:sz w:val="24"/>
          <w:szCs w:val="24"/>
        </w:rPr>
        <w:t>depth</w:t>
      </w:r>
      <w:r w:rsidR="003832BC">
        <w:rPr>
          <w:rFonts w:ascii="Times New Roman" w:hAnsi="Times New Roman" w:cs="Times New Roman"/>
          <w:sz w:val="24"/>
          <w:szCs w:val="24"/>
        </w:rPr>
        <w:t xml:space="preserve"> in the painting, but as soon as this logic is adopted</w:t>
      </w:r>
      <w:r w:rsidR="007C432F">
        <w:rPr>
          <w:rFonts w:ascii="Times New Roman" w:hAnsi="Times New Roman" w:cs="Times New Roman"/>
          <w:sz w:val="24"/>
          <w:szCs w:val="24"/>
        </w:rPr>
        <w:t xml:space="preserve"> everything behind the table - t</w:t>
      </w:r>
      <w:r w:rsidR="003832BC">
        <w:rPr>
          <w:rFonts w:ascii="Times New Roman" w:hAnsi="Times New Roman" w:cs="Times New Roman"/>
          <w:sz w:val="24"/>
          <w:szCs w:val="24"/>
        </w:rPr>
        <w:t xml:space="preserve">he divan and the two women sitting on it - </w:t>
      </w:r>
      <w:r w:rsidR="003832BC" w:rsidRPr="003832BC">
        <w:rPr>
          <w:rFonts w:ascii="Times New Roman" w:hAnsi="Times New Roman" w:cs="Times New Roman"/>
          <w:sz w:val="24"/>
          <w:szCs w:val="24"/>
        </w:rPr>
        <w:t xml:space="preserve">is flattened on the wall. </w:t>
      </w:r>
      <w:r w:rsidR="003832BC">
        <w:rPr>
          <w:rFonts w:ascii="Times New Roman" w:hAnsi="Times New Roman" w:cs="Times New Roman"/>
          <w:sz w:val="24"/>
          <w:szCs w:val="24"/>
        </w:rPr>
        <w:t>Only remains the woman in beige, who still is three-dimensional</w:t>
      </w:r>
      <w:r w:rsidR="00367126">
        <w:rPr>
          <w:rFonts w:ascii="Times New Roman" w:hAnsi="Times New Roman" w:cs="Times New Roman"/>
          <w:sz w:val="24"/>
          <w:szCs w:val="24"/>
        </w:rPr>
        <w:t xml:space="preserve">, but the book on her thigh </w:t>
      </w:r>
      <w:r w:rsidR="00367126">
        <w:rPr>
          <w:rFonts w:ascii="Times New Roman" w:hAnsi="Times New Roman" w:cs="Times New Roman"/>
          <w:sz w:val="24"/>
          <w:szCs w:val="24"/>
        </w:rPr>
        <w:lastRenderedPageBreak/>
        <w:t>suggests she is seated on the divan</w:t>
      </w:r>
      <w:r w:rsidR="00DA6DA5">
        <w:rPr>
          <w:rFonts w:ascii="Times New Roman" w:hAnsi="Times New Roman" w:cs="Times New Roman"/>
          <w:sz w:val="24"/>
          <w:szCs w:val="24"/>
        </w:rPr>
        <w:t>, which itself must be flat for the table to be three-dimensional</w:t>
      </w:r>
      <w:r w:rsidR="00367126">
        <w:rPr>
          <w:rFonts w:ascii="Times New Roman" w:hAnsi="Times New Roman" w:cs="Times New Roman"/>
          <w:sz w:val="24"/>
          <w:szCs w:val="24"/>
        </w:rPr>
        <w:t>.</w:t>
      </w:r>
      <w:r w:rsidR="00DA6DA5">
        <w:rPr>
          <w:rFonts w:ascii="Times New Roman" w:hAnsi="Times New Roman" w:cs="Times New Roman"/>
          <w:sz w:val="24"/>
          <w:szCs w:val="24"/>
        </w:rPr>
        <w:t xml:space="preserve"> </w:t>
      </w:r>
      <w:r w:rsidR="00367126">
        <w:rPr>
          <w:rFonts w:ascii="Times New Roman" w:hAnsi="Times New Roman" w:cs="Times New Roman"/>
          <w:sz w:val="24"/>
          <w:szCs w:val="24"/>
        </w:rPr>
        <w:t xml:space="preserve"> This contradiction makes the perception of space fall apart in the painting – to the point w</w:t>
      </w:r>
      <w:r w:rsidR="00C74DDC">
        <w:rPr>
          <w:rFonts w:ascii="Times New Roman" w:hAnsi="Times New Roman" w:cs="Times New Roman"/>
          <w:sz w:val="24"/>
          <w:szCs w:val="24"/>
        </w:rPr>
        <w:t>here Three Women</w:t>
      </w:r>
      <w:r w:rsidR="008F6C5B">
        <w:rPr>
          <w:rFonts w:ascii="Times New Roman" w:hAnsi="Times New Roman" w:cs="Times New Roman"/>
          <w:sz w:val="24"/>
          <w:szCs w:val="24"/>
        </w:rPr>
        <w:t xml:space="preserve"> can</w:t>
      </w:r>
      <w:r w:rsidR="00367126">
        <w:rPr>
          <w:rFonts w:ascii="Times New Roman" w:hAnsi="Times New Roman" w:cs="Times New Roman"/>
          <w:sz w:val="24"/>
          <w:szCs w:val="24"/>
        </w:rPr>
        <w:t xml:space="preserve"> be coherent </w:t>
      </w:r>
      <w:r w:rsidR="008F6C5B">
        <w:rPr>
          <w:rFonts w:ascii="Times New Roman" w:hAnsi="Times New Roman" w:cs="Times New Roman"/>
          <w:sz w:val="24"/>
          <w:szCs w:val="24"/>
        </w:rPr>
        <w:t xml:space="preserve">only </w:t>
      </w:r>
      <w:r w:rsidR="00367126">
        <w:rPr>
          <w:rFonts w:ascii="Times New Roman" w:hAnsi="Times New Roman" w:cs="Times New Roman"/>
          <w:sz w:val="24"/>
          <w:szCs w:val="24"/>
        </w:rPr>
        <w:t>if the whole paintin</w:t>
      </w:r>
      <w:r w:rsidR="00C30503">
        <w:rPr>
          <w:rFonts w:ascii="Times New Roman" w:hAnsi="Times New Roman" w:cs="Times New Roman"/>
          <w:sz w:val="24"/>
          <w:szCs w:val="24"/>
        </w:rPr>
        <w:t xml:space="preserve">g is </w:t>
      </w:r>
      <w:r w:rsidR="00C74DDC">
        <w:rPr>
          <w:rFonts w:ascii="Times New Roman" w:hAnsi="Times New Roman" w:cs="Times New Roman"/>
          <w:sz w:val="24"/>
          <w:szCs w:val="24"/>
        </w:rPr>
        <w:t>flat.</w:t>
      </w:r>
    </w:p>
    <w:p w:rsidR="00C74DDC" w:rsidRDefault="00C74DDC" w:rsidP="003832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upper section</w:t>
      </w:r>
      <w:r w:rsidR="00971949">
        <w:rPr>
          <w:rFonts w:ascii="Times New Roman" w:hAnsi="Times New Roman" w:cs="Times New Roman"/>
          <w:sz w:val="24"/>
          <w:szCs w:val="24"/>
        </w:rPr>
        <w:t xml:space="preserve"> of the artwork, a shape</w:t>
      </w:r>
      <w:r w:rsidR="008F6C5B">
        <w:rPr>
          <w:rFonts w:ascii="Times New Roman" w:hAnsi="Times New Roman" w:cs="Times New Roman"/>
          <w:sz w:val="24"/>
          <w:szCs w:val="24"/>
        </w:rPr>
        <w:t xml:space="preserve"> is</w:t>
      </w:r>
      <w:r>
        <w:rPr>
          <w:rFonts w:ascii="Times New Roman" w:hAnsi="Times New Roman" w:cs="Times New Roman"/>
          <w:sz w:val="24"/>
          <w:szCs w:val="24"/>
        </w:rPr>
        <w:t xml:space="preserve"> reiterated twice. The left component of the shape is quadrant and the right component is a bent line that changes curvature. The shape to the left is orange, and the shape to the right is blue. The shapes have depth (again with the use of color hues for volume), and could be interpreted as curtains. Consequentl</w:t>
      </w:r>
      <w:r w:rsidR="002F21C0">
        <w:rPr>
          <w:rFonts w:ascii="Times New Roman" w:hAnsi="Times New Roman" w:cs="Times New Roman"/>
          <w:sz w:val="24"/>
          <w:szCs w:val="24"/>
        </w:rPr>
        <w:t>y the white squares in which said shape is</w:t>
      </w:r>
      <w:r>
        <w:rPr>
          <w:rFonts w:ascii="Times New Roman" w:hAnsi="Times New Roman" w:cs="Times New Roman"/>
          <w:sz w:val="24"/>
          <w:szCs w:val="24"/>
        </w:rPr>
        <w:t xml:space="preserve"> contained become windows. In her essay Grids, Kraus finds the root of the grid in the nineteenth century. </w:t>
      </w:r>
      <w:r w:rsidR="00971949">
        <w:rPr>
          <w:rFonts w:ascii="Times New Roman" w:hAnsi="Times New Roman" w:cs="Times New Roman"/>
          <w:sz w:val="24"/>
          <w:szCs w:val="24"/>
        </w:rPr>
        <w:t>If the modernist use of the grid has its origins in “a trauma that must be repressed – a symbolist window parading in the guise of the treatise on optics”, then including the window itself in a grid is a way to validate the grid as an independent technology. The grid is now liberated of even its origin, it is detached from its root and all the spiritual implications the window brings.</w:t>
      </w:r>
    </w:p>
    <w:p w:rsidR="007C687C" w:rsidRDefault="00971949" w:rsidP="007C68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parallel, it can be argued that the inclusion of </w:t>
      </w:r>
      <w:r w:rsidR="00A8767C">
        <w:rPr>
          <w:rFonts w:ascii="Times New Roman" w:hAnsi="Times New Roman" w:cs="Times New Roman"/>
          <w:sz w:val="24"/>
          <w:szCs w:val="24"/>
        </w:rPr>
        <w:t xml:space="preserve">references to pre-naturalism painting is a way to </w:t>
      </w:r>
      <w:r w:rsidR="006155CE">
        <w:rPr>
          <w:rFonts w:ascii="Times New Roman" w:hAnsi="Times New Roman" w:cs="Times New Roman"/>
          <w:sz w:val="24"/>
          <w:szCs w:val="24"/>
        </w:rPr>
        <w:t xml:space="preserve">set the grid </w:t>
      </w:r>
      <w:r w:rsidR="00A8767C">
        <w:rPr>
          <w:rFonts w:ascii="Times New Roman" w:hAnsi="Times New Roman" w:cs="Times New Roman"/>
          <w:sz w:val="24"/>
          <w:szCs w:val="24"/>
        </w:rPr>
        <w:t>as t</w:t>
      </w:r>
      <w:r w:rsidR="002F21C0">
        <w:rPr>
          <w:rFonts w:ascii="Times New Roman" w:hAnsi="Times New Roman" w:cs="Times New Roman"/>
          <w:sz w:val="24"/>
          <w:szCs w:val="24"/>
        </w:rPr>
        <w:t>he dominant force in the painting</w:t>
      </w:r>
      <w:r w:rsidR="00A8767C">
        <w:rPr>
          <w:rFonts w:ascii="Times New Roman" w:hAnsi="Times New Roman" w:cs="Times New Roman"/>
          <w:sz w:val="24"/>
          <w:szCs w:val="24"/>
        </w:rPr>
        <w:t>. First and foremost, the return of figura</w:t>
      </w:r>
      <w:r w:rsidR="002F21C0">
        <w:rPr>
          <w:rFonts w:ascii="Times New Roman" w:hAnsi="Times New Roman" w:cs="Times New Roman"/>
          <w:sz w:val="24"/>
          <w:szCs w:val="24"/>
        </w:rPr>
        <w:t>tion in Léger’s cubist painting: while t</w:t>
      </w:r>
      <w:r w:rsidR="00A8767C">
        <w:rPr>
          <w:rFonts w:ascii="Times New Roman" w:hAnsi="Times New Roman" w:cs="Times New Roman"/>
          <w:sz w:val="24"/>
          <w:szCs w:val="24"/>
        </w:rPr>
        <w:t>he painter’s previous artworks only contained purely cubist elements in the Contrast of Forms series (1913), or at best humanoid forms in The Staircase (1914)</w:t>
      </w:r>
      <w:r w:rsidR="002F21C0">
        <w:rPr>
          <w:rFonts w:ascii="Times New Roman" w:hAnsi="Times New Roman" w:cs="Times New Roman"/>
          <w:sz w:val="24"/>
          <w:szCs w:val="24"/>
        </w:rPr>
        <w:t>, Three Women undeniably depicts humans</w:t>
      </w:r>
      <w:r w:rsidR="00A8767C">
        <w:rPr>
          <w:rFonts w:ascii="Times New Roman" w:hAnsi="Times New Roman" w:cs="Times New Roman"/>
          <w:sz w:val="24"/>
          <w:szCs w:val="24"/>
        </w:rPr>
        <w:t>. Further</w:t>
      </w:r>
      <w:r w:rsidR="002F21C0">
        <w:rPr>
          <w:rFonts w:ascii="Times New Roman" w:hAnsi="Times New Roman" w:cs="Times New Roman"/>
          <w:sz w:val="24"/>
          <w:szCs w:val="24"/>
        </w:rPr>
        <w:t>more, a direct quote to an older painting</w:t>
      </w:r>
      <w:r w:rsidR="00A8767C">
        <w:rPr>
          <w:rFonts w:ascii="Times New Roman" w:hAnsi="Times New Roman" w:cs="Times New Roman"/>
          <w:sz w:val="24"/>
          <w:szCs w:val="24"/>
        </w:rPr>
        <w:t xml:space="preserve"> can be identified in the painting: the panther at the right of the painting is reference to the black cat in Manet’s Olym</w:t>
      </w:r>
      <w:r w:rsidR="006155CE">
        <w:rPr>
          <w:rFonts w:ascii="Times New Roman" w:hAnsi="Times New Roman" w:cs="Times New Roman"/>
          <w:sz w:val="24"/>
          <w:szCs w:val="24"/>
        </w:rPr>
        <w:t xml:space="preserve">pia (1863). Finally, he </w:t>
      </w:r>
      <w:r w:rsidR="00A8767C">
        <w:rPr>
          <w:rFonts w:ascii="Times New Roman" w:hAnsi="Times New Roman" w:cs="Times New Roman"/>
          <w:sz w:val="24"/>
          <w:szCs w:val="24"/>
        </w:rPr>
        <w:t xml:space="preserve">uses perspectival techniques developed in the Renaissance </w:t>
      </w:r>
      <w:r w:rsidR="006155CE">
        <w:rPr>
          <w:rFonts w:ascii="Times New Roman" w:hAnsi="Times New Roman" w:cs="Times New Roman"/>
          <w:sz w:val="24"/>
          <w:szCs w:val="24"/>
        </w:rPr>
        <w:t xml:space="preserve">for the red table. </w:t>
      </w:r>
      <w:r w:rsidR="007C687C">
        <w:rPr>
          <w:rFonts w:ascii="Times New Roman" w:hAnsi="Times New Roman" w:cs="Times New Roman"/>
          <w:sz w:val="24"/>
          <w:szCs w:val="24"/>
        </w:rPr>
        <w:t xml:space="preserve">Kraus explains that the grid is a “visual structure that explicitly rejects a narrative or sequential reading of any kind”. </w:t>
      </w:r>
      <w:r w:rsidR="006155CE">
        <w:rPr>
          <w:rFonts w:ascii="Times New Roman" w:hAnsi="Times New Roman" w:cs="Times New Roman"/>
          <w:sz w:val="24"/>
          <w:szCs w:val="24"/>
        </w:rPr>
        <w:t xml:space="preserve">Since Three Women is </w:t>
      </w:r>
      <w:r w:rsidR="00844823">
        <w:rPr>
          <w:rFonts w:ascii="Times New Roman" w:hAnsi="Times New Roman" w:cs="Times New Roman"/>
          <w:sz w:val="24"/>
          <w:szCs w:val="24"/>
        </w:rPr>
        <w:t>inconsistent</w:t>
      </w:r>
      <w:r w:rsidR="006155CE">
        <w:rPr>
          <w:rFonts w:ascii="Times New Roman" w:hAnsi="Times New Roman" w:cs="Times New Roman"/>
          <w:sz w:val="24"/>
          <w:szCs w:val="24"/>
        </w:rPr>
        <w:t xml:space="preserve"> when viewed as a painting </w:t>
      </w:r>
      <w:r w:rsidR="006155CE">
        <w:rPr>
          <w:rFonts w:ascii="Times New Roman" w:hAnsi="Times New Roman" w:cs="Times New Roman"/>
          <w:sz w:val="24"/>
          <w:szCs w:val="24"/>
        </w:rPr>
        <w:lastRenderedPageBreak/>
        <w:t xml:space="preserve">that possesses depth, the only way to view it is to accept its flatness. The grid is therefore stronger than the classic techniques of painting. </w:t>
      </w:r>
    </w:p>
    <w:p w:rsidR="00B76A22" w:rsidRDefault="00B76A22" w:rsidP="008A7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grid symbol</w:t>
      </w:r>
      <w:r w:rsidR="002F21C0">
        <w:rPr>
          <w:rFonts w:ascii="Times New Roman" w:hAnsi="Times New Roman" w:cs="Times New Roman"/>
          <w:sz w:val="24"/>
          <w:szCs w:val="24"/>
        </w:rPr>
        <w:t>izes</w:t>
      </w:r>
      <w:r w:rsidR="00523D2B">
        <w:rPr>
          <w:rFonts w:ascii="Times New Roman" w:hAnsi="Times New Roman" w:cs="Times New Roman"/>
          <w:sz w:val="24"/>
          <w:szCs w:val="24"/>
        </w:rPr>
        <w:t xml:space="preserve"> </w:t>
      </w:r>
      <w:r>
        <w:rPr>
          <w:rFonts w:ascii="Times New Roman" w:hAnsi="Times New Roman" w:cs="Times New Roman"/>
          <w:sz w:val="24"/>
          <w:szCs w:val="24"/>
        </w:rPr>
        <w:t xml:space="preserve">modernity, in that </w:t>
      </w:r>
      <w:r w:rsidR="008A7676">
        <w:rPr>
          <w:rFonts w:ascii="Times New Roman" w:hAnsi="Times New Roman" w:cs="Times New Roman"/>
          <w:sz w:val="24"/>
          <w:szCs w:val="24"/>
        </w:rPr>
        <w:t>it simultaneously situates modern art as its independent realm (spatial dimension), and marks it as exclusive to the twentieth century (temporal dimension). Modernism, on the other hand, is defined as the aesthetic response to the condition of modernity. In then entails that using the grid is the tool of choice for modernism. However, i</w:t>
      </w:r>
      <w:r w:rsidR="00482DB5">
        <w:rPr>
          <w:rFonts w:ascii="Times New Roman" w:hAnsi="Times New Roman" w:cs="Times New Roman"/>
          <w:sz w:val="24"/>
          <w:szCs w:val="24"/>
        </w:rPr>
        <w:t>n Three</w:t>
      </w:r>
      <w:r w:rsidR="002F21C0">
        <w:rPr>
          <w:rFonts w:ascii="Times New Roman" w:hAnsi="Times New Roman" w:cs="Times New Roman"/>
          <w:sz w:val="24"/>
          <w:szCs w:val="24"/>
        </w:rPr>
        <w:t xml:space="preserve"> Women, the grid is no longer presented in a vacuum: </w:t>
      </w:r>
      <w:r w:rsidR="00482DB5">
        <w:rPr>
          <w:rFonts w:ascii="Times New Roman" w:hAnsi="Times New Roman" w:cs="Times New Roman"/>
          <w:sz w:val="24"/>
          <w:szCs w:val="24"/>
        </w:rPr>
        <w:t xml:space="preserve">it is used in conjunction with other means of painting. </w:t>
      </w:r>
      <w:r w:rsidR="008A7676">
        <w:rPr>
          <w:rFonts w:ascii="Times New Roman" w:hAnsi="Times New Roman" w:cs="Times New Roman"/>
          <w:sz w:val="24"/>
          <w:szCs w:val="24"/>
        </w:rPr>
        <w:t>Indeed, the painting has to be regarded as post-cubist: Léger brings back figuration in his a</w:t>
      </w:r>
      <w:r w:rsidR="00947908">
        <w:rPr>
          <w:rFonts w:ascii="Times New Roman" w:hAnsi="Times New Roman" w:cs="Times New Roman"/>
          <w:sz w:val="24"/>
          <w:szCs w:val="24"/>
        </w:rPr>
        <w:t xml:space="preserve">rt, along with the </w:t>
      </w:r>
      <w:r w:rsidR="008A7676">
        <w:rPr>
          <w:rFonts w:ascii="Times New Roman" w:hAnsi="Times New Roman" w:cs="Times New Roman"/>
          <w:sz w:val="24"/>
          <w:szCs w:val="24"/>
        </w:rPr>
        <w:t xml:space="preserve">various techniques </w:t>
      </w:r>
      <w:r w:rsidR="00947908">
        <w:rPr>
          <w:rFonts w:ascii="Times New Roman" w:hAnsi="Times New Roman" w:cs="Times New Roman"/>
          <w:sz w:val="24"/>
          <w:szCs w:val="24"/>
        </w:rPr>
        <w:t xml:space="preserve">that have governed painting as a discipline until his own era of cubism – of breaking free with the grid. This return must not be viewed as an attempt to reconcile the classic with the modernist. Instead, it can be seen as a challenge for modernism, a reality check. </w:t>
      </w:r>
    </w:p>
    <w:p w:rsidR="0092667B" w:rsidRPr="0092667B" w:rsidRDefault="00947908" w:rsidP="00F6444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artist makes the two worlds collide: the narrative element entailed by </w:t>
      </w:r>
      <w:r w:rsidR="00844823">
        <w:rPr>
          <w:rFonts w:ascii="Times New Roman" w:hAnsi="Times New Roman" w:cs="Times New Roman"/>
          <w:sz w:val="24"/>
          <w:szCs w:val="24"/>
        </w:rPr>
        <w:t xml:space="preserve">figuration </w:t>
      </w:r>
      <w:r>
        <w:rPr>
          <w:rFonts w:ascii="Times New Roman" w:hAnsi="Times New Roman" w:cs="Times New Roman"/>
          <w:sz w:val="24"/>
          <w:szCs w:val="24"/>
        </w:rPr>
        <w:t>against the antihistorical, antdevelopmental status granted by the grid. As the visual analysis shows, Three Women is only coherent when viewed as flat, so when the position of the grid is adopted. Léger has attained the antinarr</w:t>
      </w:r>
      <w:r w:rsidR="008F6C5B">
        <w:rPr>
          <w:rFonts w:ascii="Times New Roman" w:hAnsi="Times New Roman" w:cs="Times New Roman"/>
          <w:sz w:val="24"/>
          <w:szCs w:val="24"/>
        </w:rPr>
        <w:t xml:space="preserve">ative whilst doing figuration. </w:t>
      </w:r>
      <w:bookmarkStart w:id="0" w:name="_GoBack"/>
      <w:bookmarkEnd w:id="0"/>
      <w:r>
        <w:rPr>
          <w:rFonts w:ascii="Times New Roman" w:hAnsi="Times New Roman" w:cs="Times New Roman"/>
          <w:sz w:val="24"/>
          <w:szCs w:val="24"/>
        </w:rPr>
        <w:t xml:space="preserve">This painting is a way to show that modernism – and with it modernity – is no longer a phenomenon that can be contemplated in a vacuum or in a few works of art: it is a necessary viewpoint </w:t>
      </w:r>
      <w:r w:rsidR="001D4466">
        <w:rPr>
          <w:rFonts w:ascii="Times New Roman" w:hAnsi="Times New Roman" w:cs="Times New Roman"/>
          <w:sz w:val="24"/>
          <w:szCs w:val="24"/>
        </w:rPr>
        <w:t>that allows us</w:t>
      </w:r>
      <w:r>
        <w:rPr>
          <w:rFonts w:ascii="Times New Roman" w:hAnsi="Times New Roman" w:cs="Times New Roman"/>
          <w:sz w:val="24"/>
          <w:szCs w:val="24"/>
        </w:rPr>
        <w:t xml:space="preserve"> to understand the world. Modernity</w:t>
      </w:r>
      <w:r w:rsidR="00F64440">
        <w:rPr>
          <w:rFonts w:ascii="Times New Roman" w:hAnsi="Times New Roman" w:cs="Times New Roman"/>
          <w:sz w:val="24"/>
          <w:szCs w:val="24"/>
        </w:rPr>
        <w:t xml:space="preserve"> and industrialization</w:t>
      </w:r>
      <w:r>
        <w:rPr>
          <w:rFonts w:ascii="Times New Roman" w:hAnsi="Times New Roman" w:cs="Times New Roman"/>
          <w:sz w:val="24"/>
          <w:szCs w:val="24"/>
        </w:rPr>
        <w:t xml:space="preserve"> are now irreversible and impossible to ignore: </w:t>
      </w:r>
      <w:r w:rsidR="007A671B">
        <w:rPr>
          <w:rFonts w:ascii="Times New Roman" w:hAnsi="Times New Roman" w:cs="Times New Roman"/>
          <w:sz w:val="24"/>
          <w:szCs w:val="24"/>
        </w:rPr>
        <w:t xml:space="preserve">the non-modern </w:t>
      </w:r>
      <w:r>
        <w:rPr>
          <w:rFonts w:ascii="Times New Roman" w:hAnsi="Times New Roman" w:cs="Times New Roman"/>
          <w:sz w:val="24"/>
          <w:szCs w:val="24"/>
        </w:rPr>
        <w:t xml:space="preserve">is </w:t>
      </w:r>
      <w:r w:rsidR="007A671B">
        <w:rPr>
          <w:rFonts w:ascii="Times New Roman" w:hAnsi="Times New Roman" w:cs="Times New Roman"/>
          <w:sz w:val="24"/>
          <w:szCs w:val="24"/>
        </w:rPr>
        <w:t>unable to keep up</w:t>
      </w:r>
      <w:r>
        <w:rPr>
          <w:rFonts w:ascii="Times New Roman" w:hAnsi="Times New Roman" w:cs="Times New Roman"/>
          <w:sz w:val="24"/>
          <w:szCs w:val="24"/>
        </w:rPr>
        <w:t xml:space="preserve"> in the face of industrialization in</w:t>
      </w:r>
      <w:r w:rsidR="007A671B">
        <w:rPr>
          <w:rFonts w:ascii="Times New Roman" w:hAnsi="Times New Roman" w:cs="Times New Roman"/>
          <w:sz w:val="24"/>
          <w:szCs w:val="24"/>
        </w:rPr>
        <w:t xml:space="preserve"> the same way that the grid has made</w:t>
      </w:r>
      <w:r w:rsidR="003D77D1">
        <w:rPr>
          <w:rFonts w:ascii="Times New Roman" w:hAnsi="Times New Roman" w:cs="Times New Roman"/>
          <w:sz w:val="24"/>
          <w:szCs w:val="24"/>
        </w:rPr>
        <w:t xml:space="preserve"> figuration</w:t>
      </w:r>
      <w:r w:rsidR="007A671B">
        <w:rPr>
          <w:rFonts w:ascii="Times New Roman" w:hAnsi="Times New Roman" w:cs="Times New Roman"/>
          <w:sz w:val="24"/>
          <w:szCs w:val="24"/>
        </w:rPr>
        <w:t xml:space="preserve"> obsolete</w:t>
      </w:r>
      <w:r w:rsidR="00F64440">
        <w:rPr>
          <w:rFonts w:ascii="Times New Roman" w:hAnsi="Times New Roman" w:cs="Times New Roman"/>
          <w:sz w:val="24"/>
          <w:szCs w:val="24"/>
        </w:rPr>
        <w:t xml:space="preserve"> in Three Women.</w:t>
      </w:r>
    </w:p>
    <w:sectPr w:rsidR="0092667B" w:rsidRPr="009266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6C8" w:rsidRDefault="005626C8" w:rsidP="00971949">
      <w:pPr>
        <w:spacing w:after="0" w:line="240" w:lineRule="auto"/>
      </w:pPr>
      <w:r>
        <w:separator/>
      </w:r>
    </w:p>
  </w:endnote>
  <w:endnote w:type="continuationSeparator" w:id="0">
    <w:p w:rsidR="005626C8" w:rsidRDefault="005626C8" w:rsidP="0097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6C8" w:rsidRDefault="005626C8" w:rsidP="00971949">
      <w:pPr>
        <w:spacing w:after="0" w:line="240" w:lineRule="auto"/>
      </w:pPr>
      <w:r>
        <w:separator/>
      </w:r>
    </w:p>
  </w:footnote>
  <w:footnote w:type="continuationSeparator" w:id="0">
    <w:p w:rsidR="005626C8" w:rsidRDefault="005626C8" w:rsidP="009719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918E8"/>
    <w:multiLevelType w:val="hybridMultilevel"/>
    <w:tmpl w:val="A48C22C4"/>
    <w:lvl w:ilvl="0" w:tplc="243A144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204"/>
    <w:rsid w:val="0008131A"/>
    <w:rsid w:val="00087023"/>
    <w:rsid w:val="000D6B30"/>
    <w:rsid w:val="001142DB"/>
    <w:rsid w:val="001D4466"/>
    <w:rsid w:val="002F21C0"/>
    <w:rsid w:val="00367126"/>
    <w:rsid w:val="003832BC"/>
    <w:rsid w:val="003D77D1"/>
    <w:rsid w:val="00482DB5"/>
    <w:rsid w:val="004B0BA7"/>
    <w:rsid w:val="00523D2B"/>
    <w:rsid w:val="005626C8"/>
    <w:rsid w:val="006155CE"/>
    <w:rsid w:val="007A671B"/>
    <w:rsid w:val="007C432F"/>
    <w:rsid w:val="007C687C"/>
    <w:rsid w:val="00844823"/>
    <w:rsid w:val="008A7676"/>
    <w:rsid w:val="008F6C5B"/>
    <w:rsid w:val="0092667B"/>
    <w:rsid w:val="00947908"/>
    <w:rsid w:val="00971949"/>
    <w:rsid w:val="009D5204"/>
    <w:rsid w:val="00A8767C"/>
    <w:rsid w:val="00B76A22"/>
    <w:rsid w:val="00BE0B84"/>
    <w:rsid w:val="00C30503"/>
    <w:rsid w:val="00C74DDC"/>
    <w:rsid w:val="00D970BC"/>
    <w:rsid w:val="00DA6DA5"/>
    <w:rsid w:val="00F64440"/>
    <w:rsid w:val="00F90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98BA7-A4BD-4568-A5ED-D4E745478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2BC"/>
    <w:pPr>
      <w:ind w:left="720"/>
      <w:contextualSpacing/>
    </w:pPr>
  </w:style>
  <w:style w:type="paragraph" w:styleId="FootnoteText">
    <w:name w:val="footnote text"/>
    <w:basedOn w:val="Normal"/>
    <w:link w:val="FootnoteTextChar"/>
    <w:uiPriority w:val="99"/>
    <w:semiHidden/>
    <w:unhideWhenUsed/>
    <w:rsid w:val="009719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949"/>
    <w:rPr>
      <w:sz w:val="20"/>
      <w:szCs w:val="20"/>
    </w:rPr>
  </w:style>
  <w:style w:type="character" w:styleId="FootnoteReference">
    <w:name w:val="footnote reference"/>
    <w:basedOn w:val="DefaultParagraphFont"/>
    <w:uiPriority w:val="99"/>
    <w:semiHidden/>
    <w:unhideWhenUsed/>
    <w:rsid w:val="009719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8DB32-D2A4-46CE-9413-136667F0B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3</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32</cp:revision>
  <dcterms:created xsi:type="dcterms:W3CDTF">2017-10-04T21:09:00Z</dcterms:created>
  <dcterms:modified xsi:type="dcterms:W3CDTF">2017-10-05T15:21:00Z</dcterms:modified>
</cp:coreProperties>
</file>